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DD312A" w14:textId="39E790D4" w:rsidR="00EE5818" w:rsidRDefault="00890069" w:rsidP="002241D7">
      <w:pPr>
        <w:rPr>
          <w:color w:val="FF0000"/>
        </w:rPr>
      </w:pPr>
      <w:r>
        <w:rPr>
          <w:noProof/>
          <w:color w:val="FF0000"/>
          <w:lang w:eastAsia="zh-CN"/>
        </w:rPr>
        <w:drawing>
          <wp:anchor distT="0" distB="0" distL="114300" distR="114300" simplePos="0" relativeHeight="251663360" behindDoc="0" locked="0" layoutInCell="1" allowOverlap="1" wp14:anchorId="38E1C69D" wp14:editId="577B9DE9">
            <wp:simplePos x="0" y="0"/>
            <wp:positionH relativeFrom="margin">
              <wp:posOffset>5400136</wp:posOffset>
            </wp:positionH>
            <wp:positionV relativeFrom="margin">
              <wp:posOffset>165531</wp:posOffset>
            </wp:positionV>
            <wp:extent cx="448573" cy="747622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LTA 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72" cy="7707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3DCA">
        <w:rPr>
          <w:color w:val="FF0000"/>
        </w:rPr>
        <w:t>.</w:t>
      </w:r>
    </w:p>
    <w:p w14:paraId="437D6A98" w14:textId="11EC8517" w:rsidR="00D60510" w:rsidRPr="00BF0BCD" w:rsidRDefault="00D60510" w:rsidP="004D4438">
      <w:pPr>
        <w:rPr>
          <w:b/>
          <w:bCs/>
          <w:color w:val="000000" w:themeColor="text1"/>
          <w:sz w:val="36"/>
          <w:szCs w:val="36"/>
        </w:rPr>
      </w:pPr>
      <w:r w:rsidRPr="00BF0BCD">
        <w:rPr>
          <w:b/>
          <w:bCs/>
          <w:color w:val="000000" w:themeColor="text1"/>
          <w:sz w:val="36"/>
          <w:szCs w:val="36"/>
        </w:rPr>
        <w:t>PETERBOROUGH LEARNING &amp; TEACHING ASSOCIATES</w:t>
      </w:r>
    </w:p>
    <w:p w14:paraId="3D6F12F3" w14:textId="7CA26BFA" w:rsidR="00D60510" w:rsidRPr="00890069" w:rsidRDefault="004D4438" w:rsidP="004D4438">
      <w:pPr>
        <w:rPr>
          <w:i/>
          <w:iCs/>
          <w:color w:val="000000" w:themeColor="text1"/>
          <w:sz w:val="28"/>
          <w:szCs w:val="28"/>
        </w:rPr>
      </w:pPr>
      <w:r>
        <w:rPr>
          <w:i/>
          <w:iCs/>
          <w:color w:val="000000" w:themeColor="text1"/>
          <w:sz w:val="28"/>
          <w:szCs w:val="28"/>
        </w:rPr>
        <w:t xml:space="preserve">        </w:t>
      </w:r>
      <w:r w:rsidR="00D60510">
        <w:rPr>
          <w:i/>
          <w:iCs/>
          <w:color w:val="000000" w:themeColor="text1"/>
          <w:sz w:val="28"/>
          <w:szCs w:val="28"/>
        </w:rPr>
        <w:t>Committed to excellence in learning, teaching and leadership</w:t>
      </w:r>
    </w:p>
    <w:p w14:paraId="6936C3ED" w14:textId="1CF68F11" w:rsidR="00D60510" w:rsidRPr="007D5303" w:rsidRDefault="004D4438" w:rsidP="004D4438">
      <w:pPr>
        <w:rPr>
          <w:color w:val="2E74B5" w:themeColor="accent5" w:themeShade="BF"/>
        </w:rPr>
      </w:pPr>
      <w:r>
        <w:rPr>
          <w:color w:val="2E74B5" w:themeColor="accent5" w:themeShade="BF"/>
        </w:rPr>
        <w:t xml:space="preserve">                                                          </w:t>
      </w:r>
      <w:r w:rsidR="00D60510" w:rsidRPr="007D5303">
        <w:rPr>
          <w:color w:val="2E74B5" w:themeColor="accent5" w:themeShade="BF"/>
        </w:rPr>
        <w:t>www.plta.co.uk</w:t>
      </w:r>
    </w:p>
    <w:tbl>
      <w:tblPr>
        <w:tblStyle w:val="TableGrid"/>
        <w:tblpPr w:leftFromText="180" w:rightFromText="180" w:vertAnchor="text" w:horzAnchor="margin" w:tblpXSpec="center" w:tblpY="239"/>
        <w:tblW w:w="9948" w:type="dxa"/>
        <w:tblLook w:val="04A0" w:firstRow="1" w:lastRow="0" w:firstColumn="1" w:lastColumn="0" w:noHBand="0" w:noVBand="1"/>
      </w:tblPr>
      <w:tblGrid>
        <w:gridCol w:w="9948"/>
      </w:tblGrid>
      <w:tr w:rsidR="003F32AE" w14:paraId="3EBFE4BE" w14:textId="77777777" w:rsidTr="003F32AE">
        <w:trPr>
          <w:trHeight w:val="494"/>
        </w:trPr>
        <w:tc>
          <w:tcPr>
            <w:tcW w:w="9948" w:type="dxa"/>
            <w:shd w:val="clear" w:color="auto" w:fill="9CC2E5" w:themeFill="accent5" w:themeFillTint="99"/>
            <w:vAlign w:val="center"/>
          </w:tcPr>
          <w:p w14:paraId="25E23947" w14:textId="77777777" w:rsidR="003F32AE" w:rsidRDefault="003F32AE" w:rsidP="003F32AE">
            <w:pPr>
              <w:jc w:val="center"/>
              <w:rPr>
                <w:b/>
                <w:color w:val="000000" w:themeColor="text1"/>
                <w:sz w:val="72"/>
                <w:szCs w:val="72"/>
              </w:rPr>
            </w:pPr>
            <w:r>
              <w:rPr>
                <w:b/>
                <w:color w:val="000000" w:themeColor="text1"/>
                <w:sz w:val="72"/>
                <w:szCs w:val="72"/>
              </w:rPr>
              <w:t>The world around us:</w:t>
            </w:r>
          </w:p>
          <w:p w14:paraId="72BC182E" w14:textId="77777777" w:rsidR="003F32AE" w:rsidRDefault="003F32AE" w:rsidP="003F32AE">
            <w:pPr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b/>
                <w:bCs/>
                <w:color w:val="000000" w:themeColor="text1"/>
                <w:sz w:val="32"/>
                <w:szCs w:val="32"/>
              </w:rPr>
              <w:t>Supporting children in their understanding of the world</w:t>
            </w:r>
          </w:p>
          <w:p w14:paraId="34F8902D" w14:textId="77777777" w:rsidR="003F32AE" w:rsidRPr="00BC0B84" w:rsidRDefault="003F32AE" w:rsidP="003F32AE">
            <w:pPr>
              <w:jc w:val="center"/>
              <w:rPr>
                <w:b/>
                <w:bCs/>
                <w:color w:val="000000" w:themeColor="text1"/>
                <w:sz w:val="12"/>
                <w:szCs w:val="32"/>
              </w:rPr>
            </w:pPr>
          </w:p>
        </w:tc>
      </w:tr>
      <w:tr w:rsidR="003F32AE" w:rsidRPr="002B0092" w14:paraId="24164398" w14:textId="77777777" w:rsidTr="003F32AE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62B7110E" w14:textId="77777777" w:rsidR="003F32AE" w:rsidRPr="002B0092" w:rsidRDefault="003F32AE" w:rsidP="003F32AE">
            <w:pPr>
              <w:rPr>
                <w:b/>
                <w:bCs/>
                <w:i/>
                <w:iCs/>
                <w:color w:val="000000" w:themeColor="text1"/>
                <w:sz w:val="28"/>
                <w:szCs w:val="36"/>
              </w:rPr>
            </w:pPr>
            <w:r w:rsidRPr="008408C7">
              <w:rPr>
                <w:b/>
                <w:bCs/>
                <w:color w:val="000000" w:themeColor="text1"/>
                <w:sz w:val="28"/>
                <w:szCs w:val="28"/>
              </w:rPr>
              <w:t>Format:  Inhouse whole team training for your setting</w:t>
            </w:r>
          </w:p>
        </w:tc>
      </w:tr>
      <w:tr w:rsidR="003F32AE" w14:paraId="7E857AE8" w14:textId="77777777" w:rsidTr="003F32AE">
        <w:trPr>
          <w:trHeight w:val="494"/>
        </w:trPr>
        <w:tc>
          <w:tcPr>
            <w:tcW w:w="9948" w:type="dxa"/>
            <w:shd w:val="clear" w:color="auto" w:fill="DEEAF6" w:themeFill="accent5" w:themeFillTint="33"/>
            <w:vAlign w:val="center"/>
          </w:tcPr>
          <w:p w14:paraId="052BDB37" w14:textId="21A27E66" w:rsidR="003F32AE" w:rsidRPr="00421727" w:rsidRDefault="003F32AE" w:rsidP="003F32AE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Audience:  Practitioners working in preschools and nurseries (</w:t>
            </w:r>
            <w:bookmarkStart w:id="0" w:name="_GoBack"/>
            <w:bookmarkEnd w:id="0"/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preschool rooms) </w:t>
            </w:r>
          </w:p>
        </w:tc>
      </w:tr>
      <w:tr w:rsidR="003F32AE" w14:paraId="1DAC7CB1" w14:textId="77777777" w:rsidTr="003F32AE">
        <w:trPr>
          <w:trHeight w:val="4751"/>
        </w:trPr>
        <w:tc>
          <w:tcPr>
            <w:tcW w:w="9948" w:type="dxa"/>
          </w:tcPr>
          <w:p w14:paraId="61C923BE" w14:textId="77777777" w:rsidR="003F32AE" w:rsidRPr="00D337EA" w:rsidRDefault="003F32AE" w:rsidP="003F32A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12"/>
                <w:szCs w:val="28"/>
              </w:rPr>
            </w:pPr>
          </w:p>
          <w:p w14:paraId="7C6D2DD3" w14:textId="77777777" w:rsidR="003F32AE" w:rsidRDefault="003F32AE" w:rsidP="003F32A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>Understanding of the world is a rich and exciting area of learning that links easily to all area of development. Delegates attending this training will build on their knowledge of this area and develop th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eir understanding of 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strategies to support children’s  curiosity and interest in the world around them, through practical and engaging provision.</w:t>
            </w:r>
          </w:p>
          <w:p w14:paraId="0383F6E2" w14:textId="77777777" w:rsidR="003F32AE" w:rsidRDefault="003F32AE" w:rsidP="003F32A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78A3000F" w14:textId="77777777" w:rsidR="003F32AE" w:rsidRDefault="003F32AE" w:rsidP="003F32AE">
            <w:pPr>
              <w:shd w:val="clear" w:color="auto" w:fill="FFFFFF"/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This course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is specifically designed to suit the needs of the settings. It can be delivered during daytime/evenings/Saturdays or school holidays to facilitate as wide an audience as possible, within a setting or group of settings. 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The cou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rse consists of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 3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, two and a half hour sessions, </w:t>
            </w: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wi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>th gap tasks between and could be followed by a visit to the setting to support staff with implementation of aspects of the course. The course can be run for a minimum of 5 and a maximum of 30 delegates.  Prices vary according to the number of delegates.</w:t>
            </w:r>
          </w:p>
          <w:p w14:paraId="204635FD" w14:textId="77777777" w:rsidR="003F32AE" w:rsidRPr="00906CE6" w:rsidRDefault="003F32AE" w:rsidP="003F32AE">
            <w:pPr>
              <w:shd w:val="clear" w:color="auto" w:fill="FFFFFF"/>
              <w:jc w:val="both"/>
              <w:rPr>
                <w:rFonts w:cstheme="minorHAnsi"/>
                <w:sz w:val="28"/>
                <w:szCs w:val="28"/>
              </w:rPr>
            </w:pPr>
          </w:p>
          <w:p w14:paraId="4091EC2C" w14:textId="77777777" w:rsidR="003F32AE" w:rsidRPr="00906CE6" w:rsidRDefault="003F32AE" w:rsidP="003F32AE">
            <w:p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 xml:space="preserve">As a result of attending this course, delegates will have developed their understanding of: </w:t>
            </w:r>
          </w:p>
          <w:p w14:paraId="391E35D7" w14:textId="77777777" w:rsidR="003F32AE" w:rsidRPr="00A63600" w:rsidRDefault="003F32AE" w:rsidP="003F32AE">
            <w:pPr>
              <w:numPr>
                <w:ilvl w:val="0"/>
                <w:numId w:val="2"/>
              </w:numPr>
              <w:shd w:val="clear" w:color="auto" w:fill="FFFFFF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A63600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The EYFS Statutory Framework and Development Matters </w:t>
            </w:r>
          </w:p>
          <w:p w14:paraId="57045B7C" w14:textId="77777777" w:rsidR="003F32AE" w:rsidRDefault="003F32AE" w:rsidP="003F32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 w:rsidRPr="00B32BF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The role of the adults in helping 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children to be independent and inquisitive learners</w:t>
            </w:r>
          </w:p>
          <w:p w14:paraId="5D3690D7" w14:textId="77C11750" w:rsidR="003F32AE" w:rsidRDefault="003F32AE" w:rsidP="003F32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How Understanding the World links to other area</w:t>
            </w:r>
            <w:r w:rsidR="00B77546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s 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of learning</w:t>
            </w:r>
          </w:p>
          <w:p w14:paraId="115F7E6C" w14:textId="77777777" w:rsidR="003F32AE" w:rsidRPr="00B32BFD" w:rsidRDefault="003F32AE" w:rsidP="003F32AE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</w:pP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H</w:t>
            </w:r>
            <w:r w:rsidRPr="00B32BFD"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 xml:space="preserve">ow provision can effectively support </w:t>
            </w:r>
            <w:r>
              <w:rPr>
                <w:rFonts w:eastAsia="Times New Roman" w:cstheme="minorHAnsi"/>
                <w:color w:val="222222"/>
                <w:sz w:val="28"/>
                <w:szCs w:val="28"/>
                <w:lang w:eastAsia="en-GB"/>
              </w:rPr>
              <w:t>this area of learning</w:t>
            </w:r>
          </w:p>
          <w:p w14:paraId="1781A172" w14:textId="77777777" w:rsidR="003F32AE" w:rsidRPr="00C74806" w:rsidRDefault="003F32AE" w:rsidP="003F32AE">
            <w:pPr>
              <w:jc w:val="both"/>
              <w:rPr>
                <w:rFonts w:cstheme="minorHAnsi"/>
                <w:b/>
                <w:color w:val="000000" w:themeColor="text1"/>
                <w:sz w:val="28"/>
                <w:szCs w:val="28"/>
              </w:rPr>
            </w:pPr>
            <w:r w:rsidRPr="00C74806">
              <w:rPr>
                <w:rFonts w:cstheme="minorHAnsi"/>
                <w:b/>
                <w:color w:val="000000" w:themeColor="text1"/>
                <w:sz w:val="28"/>
                <w:szCs w:val="28"/>
              </w:rPr>
              <w:t>All delegates must bring a copy of:</w:t>
            </w:r>
          </w:p>
          <w:p w14:paraId="631B4C55" w14:textId="77777777" w:rsidR="003F32AE" w:rsidRPr="00906CE6" w:rsidRDefault="003F32AE" w:rsidP="003F32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EYFS Statutory Framework</w:t>
            </w:r>
          </w:p>
          <w:p w14:paraId="294C4261" w14:textId="77777777" w:rsidR="003F32AE" w:rsidRDefault="003F32AE" w:rsidP="003F32AE">
            <w:pPr>
              <w:pStyle w:val="ListParagraph"/>
              <w:numPr>
                <w:ilvl w:val="0"/>
                <w:numId w:val="2"/>
              </w:numPr>
              <w:jc w:val="both"/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906CE6">
              <w:rPr>
                <w:rFonts w:cstheme="minorHAnsi"/>
                <w:color w:val="000000" w:themeColor="text1"/>
                <w:sz w:val="28"/>
                <w:szCs w:val="28"/>
              </w:rPr>
              <w:t>EYFS Development Matters</w:t>
            </w:r>
          </w:p>
          <w:p w14:paraId="6D9B537C" w14:textId="77777777" w:rsidR="003F32AE" w:rsidRPr="00EF00B8" w:rsidRDefault="003F32AE" w:rsidP="003F32AE">
            <w:pPr>
              <w:rPr>
                <w:rFonts w:cstheme="minorHAnsi"/>
                <w:b/>
                <w:color w:val="000000" w:themeColor="text1"/>
                <w:sz w:val="12"/>
                <w:szCs w:val="28"/>
              </w:rPr>
            </w:pPr>
          </w:p>
          <w:p w14:paraId="7ADEAA7D" w14:textId="77777777" w:rsidR="003F32AE" w:rsidRDefault="003F32AE" w:rsidP="003F32AE">
            <w:pPr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Course Leaders: </w:t>
            </w:r>
            <w:r>
              <w:rPr>
                <w:color w:val="000000" w:themeColor="text1"/>
                <w:sz w:val="28"/>
                <w:szCs w:val="28"/>
              </w:rPr>
              <w:t xml:space="preserve">Al Carroll and Kathryn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Gray</w:t>
            </w:r>
            <w:proofErr w:type="spellEnd"/>
          </w:p>
          <w:p w14:paraId="4B3F73B9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5C4752DA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37425C73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10"/>
                <w:szCs w:val="10"/>
              </w:rPr>
            </w:pPr>
          </w:p>
          <w:p w14:paraId="07E166CC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 w:rsidRPr="00D337EA">
              <w:rPr>
                <w:b/>
                <w:color w:val="000000" w:themeColor="text1"/>
                <w:sz w:val="28"/>
                <w:szCs w:val="10"/>
              </w:rPr>
              <w:t>How to book:</w:t>
            </w:r>
            <w:r>
              <w:rPr>
                <w:color w:val="000000" w:themeColor="text1"/>
                <w:sz w:val="28"/>
                <w:szCs w:val="10"/>
              </w:rPr>
              <w:t xml:space="preserve">  Please contact Al by email or phone </w:t>
            </w:r>
          </w:p>
          <w:p w14:paraId="6D314A5E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 xml:space="preserve">E: </w:t>
            </w:r>
            <w:hyperlink r:id="rId9" w:history="1">
              <w:r w:rsidRPr="00893BDE">
                <w:rPr>
                  <w:rStyle w:val="Hyperlink"/>
                  <w:sz w:val="28"/>
                  <w:szCs w:val="10"/>
                </w:rPr>
                <w:t>alisonruthcarroll@gmail.co.uk</w:t>
              </w:r>
            </w:hyperlink>
          </w:p>
          <w:p w14:paraId="16FEE313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T: 07815065071</w:t>
            </w:r>
          </w:p>
          <w:p w14:paraId="4B5A0B2C" w14:textId="77777777" w:rsidR="003F32AE" w:rsidRPr="00AD2966" w:rsidRDefault="003F32AE" w:rsidP="003F32AE">
            <w:pPr>
              <w:tabs>
                <w:tab w:val="left" w:pos="1824"/>
              </w:tabs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586B6476" w14:textId="77777777" w:rsidR="003F32AE" w:rsidRDefault="003F32AE" w:rsidP="003F32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017E94">
              <w:rPr>
                <w:rFonts w:cstheme="minorHAnsi"/>
                <w:b/>
                <w:color w:val="000000" w:themeColor="text1"/>
                <w:sz w:val="28"/>
                <w:szCs w:val="28"/>
              </w:rPr>
              <w:lastRenderedPageBreak/>
              <w:t>Total cost for the course</w:t>
            </w:r>
            <w:r>
              <w:rPr>
                <w:rFonts w:cstheme="minorHAnsi"/>
                <w:b/>
                <w:color w:val="000000" w:themeColor="text1"/>
                <w:sz w:val="28"/>
                <w:szCs w:val="28"/>
              </w:rPr>
              <w:t xml:space="preserve"> (3 sessions)</w:t>
            </w:r>
            <w:r w:rsidRPr="00017E94">
              <w:rPr>
                <w:rFonts w:cstheme="minorHAnsi"/>
                <w:b/>
                <w:color w:val="000000" w:themeColor="text1"/>
                <w:sz w:val="28"/>
                <w:szCs w:val="28"/>
              </w:rPr>
              <w:t>:</w:t>
            </w: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   </w:t>
            </w:r>
          </w:p>
          <w:p w14:paraId="2AF9D5AA" w14:textId="77777777" w:rsidR="003F32AE" w:rsidRDefault="003F32AE" w:rsidP="003F32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  <w:r>
              <w:rPr>
                <w:rFonts w:cstheme="minorHAnsi"/>
                <w:color w:val="000000" w:themeColor="text1"/>
                <w:sz w:val="28"/>
                <w:szCs w:val="28"/>
              </w:rPr>
              <w:t xml:space="preserve">Standard charge £499 plus the following delegate costs:                                                                                                    </w:t>
            </w:r>
          </w:p>
          <w:p w14:paraId="4D86A995" w14:textId="77777777" w:rsidR="003F32AE" w:rsidRPr="003F32AE" w:rsidRDefault="003F32AE" w:rsidP="003F32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F32AE">
              <w:rPr>
                <w:rFonts w:cstheme="minorHAnsi"/>
                <w:color w:val="000000" w:themeColor="text1"/>
                <w:sz w:val="28"/>
                <w:szCs w:val="28"/>
              </w:rPr>
              <w:t>Minimum of 5: £40 person</w:t>
            </w:r>
          </w:p>
          <w:p w14:paraId="42249644" w14:textId="77777777" w:rsidR="003F32AE" w:rsidRPr="003F32AE" w:rsidRDefault="003F32AE" w:rsidP="003F32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F32AE">
              <w:rPr>
                <w:rFonts w:cstheme="minorHAnsi"/>
                <w:color w:val="000000" w:themeColor="text1"/>
                <w:sz w:val="28"/>
                <w:szCs w:val="28"/>
              </w:rPr>
              <w:t xml:space="preserve">Minimum of 10: £35 per person </w:t>
            </w:r>
          </w:p>
          <w:p w14:paraId="10A58014" w14:textId="77777777" w:rsidR="003F32AE" w:rsidRPr="003F32AE" w:rsidRDefault="003F32AE" w:rsidP="003F32A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color w:val="000000" w:themeColor="text1"/>
                <w:sz w:val="28"/>
                <w:szCs w:val="28"/>
              </w:rPr>
            </w:pPr>
            <w:r w:rsidRPr="003F32AE">
              <w:rPr>
                <w:rFonts w:cstheme="minorHAnsi"/>
                <w:color w:val="000000" w:themeColor="text1"/>
                <w:sz w:val="28"/>
                <w:szCs w:val="28"/>
              </w:rPr>
              <w:t xml:space="preserve">Minimum of 15: £30 per person </w:t>
            </w:r>
          </w:p>
          <w:p w14:paraId="382F3CC8" w14:textId="77777777" w:rsidR="003F32AE" w:rsidRDefault="003F32AE" w:rsidP="003F32AE">
            <w:pPr>
              <w:rPr>
                <w:rFonts w:cstheme="minorHAnsi"/>
                <w:color w:val="000000" w:themeColor="text1"/>
                <w:sz w:val="28"/>
                <w:szCs w:val="28"/>
              </w:rPr>
            </w:pPr>
          </w:p>
          <w:p w14:paraId="073BA35F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On receipt of booking, settings will be invoiced for a deposit of £200. This deposit should be paid prior to the 1</w:t>
            </w:r>
            <w:r w:rsidRPr="003F32AE">
              <w:rPr>
                <w:color w:val="000000" w:themeColor="text1"/>
                <w:sz w:val="28"/>
                <w:szCs w:val="10"/>
                <w:vertAlign w:val="superscript"/>
              </w:rPr>
              <w:t>st</w:t>
            </w:r>
            <w:r>
              <w:rPr>
                <w:color w:val="000000" w:themeColor="text1"/>
                <w:sz w:val="28"/>
                <w:szCs w:val="10"/>
              </w:rPr>
              <w:t xml:space="preserve"> session. </w:t>
            </w:r>
          </w:p>
          <w:p w14:paraId="15F71768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  <w:p w14:paraId="4349A47B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 w:rsidRPr="00D337EA">
              <w:rPr>
                <w:b/>
                <w:color w:val="000000" w:themeColor="text1"/>
                <w:sz w:val="28"/>
                <w:szCs w:val="10"/>
              </w:rPr>
              <w:t>Cancellation charges</w:t>
            </w:r>
            <w:r>
              <w:rPr>
                <w:color w:val="000000" w:themeColor="text1"/>
                <w:sz w:val="28"/>
                <w:szCs w:val="10"/>
              </w:rPr>
              <w:t xml:space="preserve"> (unless due to illness):</w:t>
            </w:r>
          </w:p>
          <w:p w14:paraId="7B37E942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With less than 3 working days’ notice - 50% charge</w:t>
            </w:r>
          </w:p>
          <w:p w14:paraId="2AFC7C5E" w14:textId="77777777" w:rsidR="003F32AE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  <w:r>
              <w:rPr>
                <w:color w:val="000000" w:themeColor="text1"/>
                <w:sz w:val="28"/>
                <w:szCs w:val="10"/>
              </w:rPr>
              <w:t>With at least 3 working days’ notice - no charge</w:t>
            </w:r>
          </w:p>
          <w:p w14:paraId="333BF180" w14:textId="77777777" w:rsidR="003F32AE" w:rsidRPr="00651544" w:rsidRDefault="003F32AE" w:rsidP="003F32AE">
            <w:pPr>
              <w:shd w:val="clear" w:color="auto" w:fill="FFFFFF"/>
              <w:rPr>
                <w:color w:val="000000" w:themeColor="text1"/>
                <w:sz w:val="28"/>
                <w:szCs w:val="10"/>
              </w:rPr>
            </w:pPr>
          </w:p>
        </w:tc>
      </w:tr>
    </w:tbl>
    <w:p w14:paraId="400280DD" w14:textId="77777777" w:rsidR="00D60510" w:rsidRPr="008408C7" w:rsidRDefault="00D60510" w:rsidP="00DE31C8">
      <w:pPr>
        <w:jc w:val="center"/>
        <w:rPr>
          <w:bCs/>
          <w:color w:val="A6A6A6" w:themeColor="background1" w:themeShade="A6"/>
          <w:sz w:val="58"/>
          <w:szCs w:val="36"/>
        </w:rPr>
      </w:pPr>
    </w:p>
    <w:p w14:paraId="614491BA" w14:textId="1842D0D5" w:rsidR="00721EA9" w:rsidRPr="007D5303" w:rsidRDefault="00721EA9" w:rsidP="00950E09">
      <w:pPr>
        <w:jc w:val="center"/>
        <w:rPr>
          <w:color w:val="2E74B5" w:themeColor="accent5" w:themeShade="BF"/>
        </w:rPr>
      </w:pPr>
    </w:p>
    <w:sectPr w:rsidR="00721EA9" w:rsidRPr="007D5303" w:rsidSect="007C4E56">
      <w:footerReference w:type="even" r:id="rId10"/>
      <w:footerReference w:type="default" r:id="rId11"/>
      <w:pgSz w:w="11900" w:h="16840"/>
      <w:pgMar w:top="568" w:right="1440" w:bottom="567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34BB7" w14:textId="77777777" w:rsidR="00F83E29" w:rsidRDefault="00F83E29" w:rsidP="00E44A6B">
      <w:r>
        <w:separator/>
      </w:r>
    </w:p>
  </w:endnote>
  <w:endnote w:type="continuationSeparator" w:id="0">
    <w:p w14:paraId="4C6ED723" w14:textId="77777777" w:rsidR="00F83E29" w:rsidRDefault="00F83E29" w:rsidP="00E44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D8C96" w14:textId="77777777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22EF72E" w14:textId="77777777" w:rsidR="00B11B4E" w:rsidRDefault="00B11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BC0C0" w14:textId="48B89284" w:rsidR="00B11B4E" w:rsidRDefault="00B11B4E" w:rsidP="00B11B4E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175D">
      <w:rPr>
        <w:rStyle w:val="PageNumber"/>
        <w:noProof/>
      </w:rPr>
      <w:t>1</w:t>
    </w:r>
    <w:r>
      <w:rPr>
        <w:rStyle w:val="PageNumber"/>
      </w:rPr>
      <w:fldChar w:fldCharType="end"/>
    </w:r>
  </w:p>
  <w:p w14:paraId="02F905AF" w14:textId="77777777" w:rsidR="00B11B4E" w:rsidRDefault="00B11B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BB3CF" w14:textId="77777777" w:rsidR="00F83E29" w:rsidRDefault="00F83E29" w:rsidP="00E44A6B">
      <w:r>
        <w:separator/>
      </w:r>
    </w:p>
  </w:footnote>
  <w:footnote w:type="continuationSeparator" w:id="0">
    <w:p w14:paraId="38DEB3CC" w14:textId="77777777" w:rsidR="00F83E29" w:rsidRDefault="00F83E29" w:rsidP="00E44A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1408"/>
    <w:multiLevelType w:val="hybridMultilevel"/>
    <w:tmpl w:val="7570A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183FA1"/>
    <w:multiLevelType w:val="multilevel"/>
    <w:tmpl w:val="93FE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457B31"/>
    <w:multiLevelType w:val="hybridMultilevel"/>
    <w:tmpl w:val="AFB08F18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6DE42424"/>
    <w:multiLevelType w:val="hybridMultilevel"/>
    <w:tmpl w:val="4DB69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B212AD"/>
    <w:multiLevelType w:val="hybridMultilevel"/>
    <w:tmpl w:val="58AC3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77301"/>
    <w:multiLevelType w:val="hybridMultilevel"/>
    <w:tmpl w:val="59B287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77"/>
    <w:rsid w:val="0001226C"/>
    <w:rsid w:val="00014D30"/>
    <w:rsid w:val="00017E94"/>
    <w:rsid w:val="00021460"/>
    <w:rsid w:val="00021CD6"/>
    <w:rsid w:val="00042467"/>
    <w:rsid w:val="00053C5C"/>
    <w:rsid w:val="00063155"/>
    <w:rsid w:val="0008609B"/>
    <w:rsid w:val="00086E95"/>
    <w:rsid w:val="000F7D01"/>
    <w:rsid w:val="00116BE3"/>
    <w:rsid w:val="00135435"/>
    <w:rsid w:val="00136963"/>
    <w:rsid w:val="00140E45"/>
    <w:rsid w:val="00155981"/>
    <w:rsid w:val="0016498A"/>
    <w:rsid w:val="001654E1"/>
    <w:rsid w:val="0017026D"/>
    <w:rsid w:val="001A2609"/>
    <w:rsid w:val="001C1911"/>
    <w:rsid w:val="001C468E"/>
    <w:rsid w:val="001D2493"/>
    <w:rsid w:val="001D7457"/>
    <w:rsid w:val="001F15B7"/>
    <w:rsid w:val="00216E1E"/>
    <w:rsid w:val="002241D7"/>
    <w:rsid w:val="00237AEB"/>
    <w:rsid w:val="00241C11"/>
    <w:rsid w:val="00241FB5"/>
    <w:rsid w:val="002B0092"/>
    <w:rsid w:val="002B02DA"/>
    <w:rsid w:val="002B2123"/>
    <w:rsid w:val="002D55D2"/>
    <w:rsid w:val="002E6E87"/>
    <w:rsid w:val="002E7861"/>
    <w:rsid w:val="00355D88"/>
    <w:rsid w:val="003568E3"/>
    <w:rsid w:val="00381325"/>
    <w:rsid w:val="003827E2"/>
    <w:rsid w:val="00394A9C"/>
    <w:rsid w:val="003C5030"/>
    <w:rsid w:val="003C6177"/>
    <w:rsid w:val="003E35F0"/>
    <w:rsid w:val="003F32AE"/>
    <w:rsid w:val="004059AB"/>
    <w:rsid w:val="00413FAE"/>
    <w:rsid w:val="00421727"/>
    <w:rsid w:val="004378A5"/>
    <w:rsid w:val="00440224"/>
    <w:rsid w:val="00443DCA"/>
    <w:rsid w:val="00451B06"/>
    <w:rsid w:val="00454DC6"/>
    <w:rsid w:val="00466D55"/>
    <w:rsid w:val="00471DC9"/>
    <w:rsid w:val="004A2D34"/>
    <w:rsid w:val="004B77DD"/>
    <w:rsid w:val="004D4438"/>
    <w:rsid w:val="005314C2"/>
    <w:rsid w:val="005A5DC7"/>
    <w:rsid w:val="005D1837"/>
    <w:rsid w:val="00614C83"/>
    <w:rsid w:val="00631377"/>
    <w:rsid w:val="00635101"/>
    <w:rsid w:val="006446A9"/>
    <w:rsid w:val="00651544"/>
    <w:rsid w:val="0067441F"/>
    <w:rsid w:val="00686A4D"/>
    <w:rsid w:val="006951D8"/>
    <w:rsid w:val="006B14E6"/>
    <w:rsid w:val="006B3B5B"/>
    <w:rsid w:val="006B5A98"/>
    <w:rsid w:val="006C2FE6"/>
    <w:rsid w:val="006E749A"/>
    <w:rsid w:val="00712D1F"/>
    <w:rsid w:val="00714BC4"/>
    <w:rsid w:val="00717454"/>
    <w:rsid w:val="00721EA9"/>
    <w:rsid w:val="00731E06"/>
    <w:rsid w:val="007353C1"/>
    <w:rsid w:val="0074016C"/>
    <w:rsid w:val="00752894"/>
    <w:rsid w:val="007564FA"/>
    <w:rsid w:val="00765C87"/>
    <w:rsid w:val="007951C3"/>
    <w:rsid w:val="007A47E5"/>
    <w:rsid w:val="007C4E56"/>
    <w:rsid w:val="007D41EC"/>
    <w:rsid w:val="007D5303"/>
    <w:rsid w:val="007D7DB8"/>
    <w:rsid w:val="00822BBE"/>
    <w:rsid w:val="00822FD3"/>
    <w:rsid w:val="00825D78"/>
    <w:rsid w:val="00831C90"/>
    <w:rsid w:val="008408C7"/>
    <w:rsid w:val="00847FF2"/>
    <w:rsid w:val="0085450E"/>
    <w:rsid w:val="00856296"/>
    <w:rsid w:val="00886FEB"/>
    <w:rsid w:val="00890069"/>
    <w:rsid w:val="008B6B18"/>
    <w:rsid w:val="008C3269"/>
    <w:rsid w:val="008D5BB8"/>
    <w:rsid w:val="008D640A"/>
    <w:rsid w:val="008E1267"/>
    <w:rsid w:val="008E6FDD"/>
    <w:rsid w:val="00906CE6"/>
    <w:rsid w:val="00935EAA"/>
    <w:rsid w:val="00940EDC"/>
    <w:rsid w:val="00943641"/>
    <w:rsid w:val="00950E09"/>
    <w:rsid w:val="009511C1"/>
    <w:rsid w:val="00955622"/>
    <w:rsid w:val="00990952"/>
    <w:rsid w:val="009B4D66"/>
    <w:rsid w:val="009E00B9"/>
    <w:rsid w:val="009E6808"/>
    <w:rsid w:val="009F7D9F"/>
    <w:rsid w:val="00A0209D"/>
    <w:rsid w:val="00A0335C"/>
    <w:rsid w:val="00A24A8A"/>
    <w:rsid w:val="00A540BC"/>
    <w:rsid w:val="00A63600"/>
    <w:rsid w:val="00A71AA1"/>
    <w:rsid w:val="00A80DB7"/>
    <w:rsid w:val="00AB3EFF"/>
    <w:rsid w:val="00AD2966"/>
    <w:rsid w:val="00AE1584"/>
    <w:rsid w:val="00AE4600"/>
    <w:rsid w:val="00B00E42"/>
    <w:rsid w:val="00B10B38"/>
    <w:rsid w:val="00B11B4E"/>
    <w:rsid w:val="00B24D39"/>
    <w:rsid w:val="00B32BFD"/>
    <w:rsid w:val="00B45697"/>
    <w:rsid w:val="00B50F5C"/>
    <w:rsid w:val="00B72D74"/>
    <w:rsid w:val="00B755E4"/>
    <w:rsid w:val="00B77546"/>
    <w:rsid w:val="00B81E6C"/>
    <w:rsid w:val="00B94A00"/>
    <w:rsid w:val="00BA7A2C"/>
    <w:rsid w:val="00BB58C3"/>
    <w:rsid w:val="00BC0B84"/>
    <w:rsid w:val="00BC175D"/>
    <w:rsid w:val="00BE7189"/>
    <w:rsid w:val="00BF0BCD"/>
    <w:rsid w:val="00BF7A2F"/>
    <w:rsid w:val="00C23F6C"/>
    <w:rsid w:val="00C419FF"/>
    <w:rsid w:val="00C50DA5"/>
    <w:rsid w:val="00C74806"/>
    <w:rsid w:val="00CB2977"/>
    <w:rsid w:val="00CE0315"/>
    <w:rsid w:val="00CF1B22"/>
    <w:rsid w:val="00D151ED"/>
    <w:rsid w:val="00D2599A"/>
    <w:rsid w:val="00D337EA"/>
    <w:rsid w:val="00D4403B"/>
    <w:rsid w:val="00D473F0"/>
    <w:rsid w:val="00D552E0"/>
    <w:rsid w:val="00D60510"/>
    <w:rsid w:val="00D629A8"/>
    <w:rsid w:val="00D825A4"/>
    <w:rsid w:val="00DD09C3"/>
    <w:rsid w:val="00DE1E13"/>
    <w:rsid w:val="00DE31C8"/>
    <w:rsid w:val="00E27A05"/>
    <w:rsid w:val="00E368AB"/>
    <w:rsid w:val="00E44A6B"/>
    <w:rsid w:val="00E5305D"/>
    <w:rsid w:val="00EC28C0"/>
    <w:rsid w:val="00ED3E13"/>
    <w:rsid w:val="00ED4599"/>
    <w:rsid w:val="00EE1ADC"/>
    <w:rsid w:val="00EE1BBD"/>
    <w:rsid w:val="00EE5818"/>
    <w:rsid w:val="00EE7963"/>
    <w:rsid w:val="00EF00B8"/>
    <w:rsid w:val="00EF6CF6"/>
    <w:rsid w:val="00F004D7"/>
    <w:rsid w:val="00F13D8D"/>
    <w:rsid w:val="00F7594B"/>
    <w:rsid w:val="00F83E29"/>
    <w:rsid w:val="00FA27BD"/>
    <w:rsid w:val="00FE2CCB"/>
    <w:rsid w:val="00FF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D45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86A4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A6B"/>
  </w:style>
  <w:style w:type="paragraph" w:styleId="Footer">
    <w:name w:val="footer"/>
    <w:basedOn w:val="Normal"/>
    <w:link w:val="FooterChar"/>
    <w:uiPriority w:val="99"/>
    <w:unhideWhenUsed/>
    <w:rsid w:val="00E44A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A6B"/>
  </w:style>
  <w:style w:type="paragraph" w:styleId="NoSpacing">
    <w:name w:val="No Spacing"/>
    <w:uiPriority w:val="1"/>
    <w:qFormat/>
    <w:rsid w:val="00E44A6B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17026D"/>
  </w:style>
  <w:style w:type="paragraph" w:styleId="ListParagraph">
    <w:name w:val="List Paragraph"/>
    <w:basedOn w:val="Normal"/>
    <w:uiPriority w:val="34"/>
    <w:qFormat/>
    <w:rsid w:val="0099095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86A4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c9">
    <w:name w:val="c9"/>
    <w:basedOn w:val="DefaultParagraphFont"/>
    <w:rsid w:val="00765C87"/>
  </w:style>
  <w:style w:type="character" w:customStyle="1" w:styleId="c12">
    <w:name w:val="c12"/>
    <w:basedOn w:val="DefaultParagraphFont"/>
    <w:rsid w:val="00765C87"/>
  </w:style>
  <w:style w:type="character" w:customStyle="1" w:styleId="il">
    <w:name w:val="il"/>
    <w:basedOn w:val="DefaultParagraphFont"/>
    <w:rsid w:val="00A63600"/>
  </w:style>
  <w:style w:type="character" w:styleId="Hyperlink">
    <w:name w:val="Hyperlink"/>
    <w:basedOn w:val="DefaultParagraphFont"/>
    <w:uiPriority w:val="99"/>
    <w:unhideWhenUsed/>
    <w:rsid w:val="0065154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5154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6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9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1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lisonruthcarroll@gmail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7393-E42E-44C8-819A-9955FA83C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Hawes</dc:creator>
  <cp:keywords/>
  <dc:description/>
  <cp:lastModifiedBy>Alison Carroll</cp:lastModifiedBy>
  <cp:revision>6</cp:revision>
  <dcterms:created xsi:type="dcterms:W3CDTF">2019-09-23T14:11:00Z</dcterms:created>
  <dcterms:modified xsi:type="dcterms:W3CDTF">2019-09-23T15:23:00Z</dcterms:modified>
</cp:coreProperties>
</file>