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312A" w14:textId="4B86A3E2" w:rsidR="00EE5818" w:rsidRDefault="00216E1E" w:rsidP="002241D7">
      <w:pPr>
        <w:rPr>
          <w:color w:val="FF0000"/>
        </w:rPr>
      </w:pPr>
      <w:r>
        <w:rPr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815C" wp14:editId="37337F4B">
                <wp:simplePos x="0" y="0"/>
                <wp:positionH relativeFrom="column">
                  <wp:posOffset>508635</wp:posOffset>
                </wp:positionH>
                <wp:positionV relativeFrom="paragraph">
                  <wp:posOffset>2540</wp:posOffset>
                </wp:positionV>
                <wp:extent cx="5434965" cy="1031240"/>
                <wp:effectExtent l="0" t="0" r="26035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65" cy="1031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F2D3" w14:textId="77777777" w:rsidR="00140E45" w:rsidRPr="00216E1E" w:rsidRDefault="00140E45" w:rsidP="00140E4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6E1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PETERBOROUGH LEARNING &amp; TEACHING ASSOCIATES</w:t>
                            </w:r>
                          </w:p>
                          <w:p w14:paraId="3FE84233" w14:textId="5A2A2624" w:rsidR="00140E45" w:rsidRDefault="00890069" w:rsidP="00140E45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ALISON CARROLL    </w:t>
                            </w:r>
                            <w:r w:rsidR="00140E45">
                              <w:rPr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ANDY HAWES</w:t>
                            </w: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    SUZIE JULIEN</w:t>
                            </w:r>
                          </w:p>
                          <w:p w14:paraId="4B45697D" w14:textId="77777777" w:rsidR="00890069" w:rsidRPr="00890069" w:rsidRDefault="00890069" w:rsidP="00140E45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14:paraId="3CF10671" w14:textId="72192FA3" w:rsidR="00890069" w:rsidRPr="00890069" w:rsidRDefault="00890069" w:rsidP="00140E45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Committed to excellence in learning, teaching and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781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05pt;margin-top:.2pt;width:427.9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" fillcolor="#bdd6ee [1304]" strokecolor="black [3213]">
                <v:textbox>
                  <w:txbxContent>
                    <w:p w14:paraId="0AD8F2D3" w14:textId="77777777" w:rsidR="00140E45" w:rsidRPr="00216E1E" w:rsidRDefault="00140E45" w:rsidP="00140E4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16E1E">
                        <w:rPr>
                          <w:b/>
                          <w:bCs/>
                          <w:sz w:val="36"/>
                          <w:szCs w:val="36"/>
                        </w:rPr>
                        <w:t>PETERBOROUGH LEARNING &amp; TEACHING ASSOCIATES</w:t>
                      </w:r>
                    </w:p>
                    <w:p w14:paraId="3FE84233" w14:textId="5A2A2624" w:rsidR="00140E45" w:rsidRDefault="00890069" w:rsidP="00140E45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 xml:space="preserve">ALISON CARROLL    </w:t>
                      </w:r>
                      <w:r w:rsidR="00140E45">
                        <w:rPr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ANDY HAWES</w:t>
                      </w:r>
                      <w:r>
                        <w:rPr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 xml:space="preserve">    SUZIE JULIEN</w:t>
                      </w:r>
                    </w:p>
                    <w:p w14:paraId="4B45697D" w14:textId="77777777" w:rsidR="00890069" w:rsidRPr="00890069" w:rsidRDefault="00890069" w:rsidP="00140E45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16"/>
                          <w:szCs w:val="16"/>
                        </w:rPr>
                      </w:pPr>
                    </w:p>
                    <w:p w14:paraId="3CF10671" w14:textId="72192FA3" w:rsidR="00890069" w:rsidRPr="00890069" w:rsidRDefault="00890069" w:rsidP="00140E45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Committed to excellence in learning, teaching and 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069">
        <w:rPr>
          <w:noProof/>
          <w:color w:val="FF0000"/>
          <w:lang w:eastAsia="zh-CN"/>
        </w:rPr>
        <w:drawing>
          <wp:anchor distT="0" distB="0" distL="114300" distR="114300" simplePos="0" relativeHeight="251663360" behindDoc="0" locked="0" layoutInCell="1" allowOverlap="1" wp14:anchorId="38E1C69D" wp14:editId="0749E701">
            <wp:simplePos x="0" y="0"/>
            <wp:positionH relativeFrom="margin">
              <wp:posOffset>-289560</wp:posOffset>
            </wp:positionH>
            <wp:positionV relativeFrom="margin">
              <wp:posOffset>-8255</wp:posOffset>
            </wp:positionV>
            <wp:extent cx="685800" cy="1143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T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CA">
        <w:rPr>
          <w:color w:val="FF0000"/>
        </w:rPr>
        <w:t>.</w:t>
      </w:r>
    </w:p>
    <w:p w14:paraId="4DB41191" w14:textId="6E83CC9D" w:rsidR="00136963" w:rsidRDefault="00136963" w:rsidP="00EE5818">
      <w:pPr>
        <w:rPr>
          <w:color w:val="FF0000"/>
        </w:rPr>
      </w:pPr>
    </w:p>
    <w:p w14:paraId="419352F6" w14:textId="77777777" w:rsidR="00E44A6B" w:rsidRDefault="00E44A6B" w:rsidP="00EE5818">
      <w:pPr>
        <w:rPr>
          <w:color w:val="FF0000"/>
        </w:rPr>
      </w:pPr>
    </w:p>
    <w:p w14:paraId="2227DDA2" w14:textId="77777777" w:rsidR="00890069" w:rsidRDefault="00890069" w:rsidP="00EE5818">
      <w:pPr>
        <w:rPr>
          <w:color w:val="FF0000"/>
        </w:rPr>
      </w:pPr>
    </w:p>
    <w:p w14:paraId="6E6E450C" w14:textId="77777777" w:rsidR="00890069" w:rsidRDefault="00890069" w:rsidP="00EE5818">
      <w:pPr>
        <w:rPr>
          <w:color w:val="FF0000"/>
        </w:rPr>
      </w:pPr>
    </w:p>
    <w:p w14:paraId="105050C5" w14:textId="77777777" w:rsidR="002241D7" w:rsidRDefault="002241D7" w:rsidP="00EE5818">
      <w:pPr>
        <w:rPr>
          <w:color w:val="FF0000"/>
        </w:rPr>
      </w:pPr>
    </w:p>
    <w:p w14:paraId="3F5FF42E" w14:textId="77777777" w:rsidR="00DE1E13" w:rsidRPr="00042467" w:rsidRDefault="00DE1E13" w:rsidP="00EE5818">
      <w:pPr>
        <w:rPr>
          <w:color w:val="FF000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7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C304C6" w14:paraId="79EA4528" w14:textId="77777777" w:rsidTr="00C304C6">
        <w:trPr>
          <w:trHeight w:val="494"/>
          <w:tblHeader/>
        </w:trPr>
        <w:tc>
          <w:tcPr>
            <w:tcW w:w="9810" w:type="dxa"/>
            <w:shd w:val="clear" w:color="auto" w:fill="9CC2E5" w:themeFill="accent5" w:themeFillTint="99"/>
            <w:vAlign w:val="center"/>
          </w:tcPr>
          <w:p w14:paraId="1C54BD2E" w14:textId="22B85A84" w:rsidR="00C304C6" w:rsidRPr="00421727" w:rsidRDefault="00092D9B" w:rsidP="00C304C6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Practical Pedagogy</w:t>
            </w:r>
            <w:r w:rsidR="00C304C6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96CA3">
              <w:rPr>
                <w:b/>
                <w:bCs/>
                <w:color w:val="000000" w:themeColor="text1"/>
                <w:sz w:val="32"/>
                <w:szCs w:val="32"/>
              </w:rPr>
              <w:t>in the EYFS</w:t>
            </w:r>
          </w:p>
        </w:tc>
      </w:tr>
      <w:tr w:rsidR="00C304C6" w14:paraId="684617D7" w14:textId="77777777" w:rsidTr="00C304C6">
        <w:trPr>
          <w:trHeight w:val="494"/>
          <w:tblHeader/>
        </w:trPr>
        <w:tc>
          <w:tcPr>
            <w:tcW w:w="9810" w:type="dxa"/>
            <w:shd w:val="clear" w:color="auto" w:fill="DEEAF6" w:themeFill="accent5" w:themeFillTint="33"/>
            <w:vAlign w:val="center"/>
          </w:tcPr>
          <w:p w14:paraId="2B6BF942" w14:textId="77777777" w:rsidR="00C304C6" w:rsidRPr="00421727" w:rsidRDefault="00C304C6" w:rsidP="00C304C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For all EYFS practitioners working in Reception classes or maintained nurseries</w:t>
            </w:r>
          </w:p>
        </w:tc>
      </w:tr>
      <w:tr w:rsidR="00C304C6" w14:paraId="3A34BD2A" w14:textId="77777777" w:rsidTr="00C304C6">
        <w:trPr>
          <w:trHeight w:val="4751"/>
        </w:trPr>
        <w:tc>
          <w:tcPr>
            <w:tcW w:w="9810" w:type="dxa"/>
          </w:tcPr>
          <w:p w14:paraId="640D7C27" w14:textId="1AFAAC3D" w:rsidR="00C304C6" w:rsidRPr="00712D1F" w:rsidRDefault="00C304C6" w:rsidP="00C304C6">
            <w:pPr>
              <w:spacing w:after="120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This course will provide delegates with the opportunity to enhance their understanding of </w:t>
            </w:r>
            <w:r w:rsidR="00092D9B">
              <w:rPr>
                <w:color w:val="000000" w:themeColor="text1"/>
                <w:sz w:val="28"/>
                <w:szCs w:val="28"/>
              </w:rPr>
              <w:t xml:space="preserve">effective pedagogical principles and strategies, to further develop teaching and </w:t>
            </w:r>
            <w:r>
              <w:rPr>
                <w:color w:val="000000" w:themeColor="text1"/>
                <w:sz w:val="28"/>
                <w:szCs w:val="28"/>
              </w:rPr>
              <w:t>learning in the</w:t>
            </w:r>
            <w:r w:rsidR="00092D9B">
              <w:rPr>
                <w:color w:val="000000" w:themeColor="text1"/>
                <w:sz w:val="28"/>
                <w:szCs w:val="28"/>
              </w:rPr>
              <w:t>ir</w:t>
            </w:r>
            <w:r>
              <w:rPr>
                <w:color w:val="000000" w:themeColor="text1"/>
                <w:sz w:val="28"/>
                <w:szCs w:val="28"/>
              </w:rPr>
              <w:t xml:space="preserve"> EYFS</w:t>
            </w:r>
            <w:r w:rsidR="00092D9B">
              <w:rPr>
                <w:color w:val="000000" w:themeColor="text1"/>
                <w:sz w:val="28"/>
                <w:szCs w:val="28"/>
              </w:rPr>
              <w:t xml:space="preserve"> settings</w:t>
            </w:r>
            <w:r>
              <w:rPr>
                <w:color w:val="000000" w:themeColor="text1"/>
                <w:sz w:val="28"/>
                <w:szCs w:val="28"/>
              </w:rPr>
              <w:t>.  The course will be delivered over 2 half d</w:t>
            </w:r>
            <w:r w:rsidR="00092D9B">
              <w:rPr>
                <w:color w:val="000000" w:themeColor="text1"/>
                <w:sz w:val="28"/>
                <w:szCs w:val="28"/>
              </w:rPr>
              <w:t>ays</w:t>
            </w:r>
            <w:r w:rsidR="005477FF">
              <w:rPr>
                <w:color w:val="000000" w:themeColor="text1"/>
                <w:sz w:val="28"/>
                <w:szCs w:val="28"/>
              </w:rPr>
              <w:t xml:space="preserve"> and a twilight</w:t>
            </w:r>
            <w:r w:rsidR="00092D9B">
              <w:rPr>
                <w:color w:val="000000" w:themeColor="text1"/>
                <w:sz w:val="28"/>
                <w:szCs w:val="28"/>
              </w:rPr>
              <w:t xml:space="preserve">.  Delegates will have </w:t>
            </w:r>
            <w:r w:rsidR="005477FF">
              <w:rPr>
                <w:color w:val="000000" w:themeColor="text1"/>
                <w:sz w:val="28"/>
                <w:szCs w:val="28"/>
              </w:rPr>
              <w:t>a short</w:t>
            </w:r>
            <w:r w:rsidR="00092D9B">
              <w:rPr>
                <w:color w:val="000000" w:themeColor="text1"/>
                <w:sz w:val="28"/>
                <w:szCs w:val="28"/>
              </w:rPr>
              <w:t xml:space="preserve"> gap task</w:t>
            </w:r>
            <w:r w:rsidR="005477F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2D9B">
              <w:rPr>
                <w:color w:val="000000" w:themeColor="text1"/>
                <w:sz w:val="28"/>
                <w:szCs w:val="28"/>
              </w:rPr>
              <w:t>to complete between the sessions</w:t>
            </w:r>
          </w:p>
          <w:p w14:paraId="7460D754" w14:textId="77777777" w:rsidR="00C304C6" w:rsidRDefault="00C304C6" w:rsidP="00C304C6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304C6">
              <w:rPr>
                <w:b/>
                <w:color w:val="000000" w:themeColor="text1"/>
                <w:sz w:val="28"/>
                <w:szCs w:val="28"/>
              </w:rPr>
              <w:t>As a result of attending this course</w:t>
            </w:r>
            <w:r>
              <w:rPr>
                <w:color w:val="000000" w:themeColor="text1"/>
                <w:sz w:val="28"/>
                <w:szCs w:val="28"/>
              </w:rPr>
              <w:t xml:space="preserve">, delegates will further develop their understanding of: </w:t>
            </w:r>
          </w:p>
          <w:p w14:paraId="0CD29FF7" w14:textId="2222B013" w:rsidR="00092D9B" w:rsidRDefault="00092D9B" w:rsidP="00C304C6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The role of the adult in </w:t>
            </w:r>
            <w:r w:rsidR="005477FF">
              <w:rPr>
                <w:color w:val="000000" w:themeColor="text1"/>
                <w:sz w:val="28"/>
                <w:szCs w:val="28"/>
              </w:rPr>
              <w:t xml:space="preserve">effectively </w:t>
            </w:r>
            <w:r>
              <w:rPr>
                <w:color w:val="000000" w:themeColor="text1"/>
                <w:sz w:val="28"/>
                <w:szCs w:val="28"/>
              </w:rPr>
              <w:t>supporting teaching and learning</w:t>
            </w:r>
          </w:p>
          <w:p w14:paraId="415E970D" w14:textId="79A72DD8" w:rsidR="00C304C6" w:rsidRDefault="00A177FF" w:rsidP="00A177FF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How children learn - including child development and brain research </w:t>
            </w:r>
          </w:p>
          <w:p w14:paraId="392B406E" w14:textId="5C760B64" w:rsidR="00A177FF" w:rsidRDefault="00A177FF" w:rsidP="00A177FF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Different types of learners </w:t>
            </w:r>
            <w:r w:rsidR="005477FF">
              <w:rPr>
                <w:color w:val="000000" w:themeColor="text1"/>
                <w:sz w:val="28"/>
                <w:szCs w:val="28"/>
              </w:rPr>
              <w:t>and how they can be provided for</w:t>
            </w:r>
            <w:r w:rsidR="006F0670">
              <w:rPr>
                <w:color w:val="000000" w:themeColor="text1"/>
                <w:sz w:val="28"/>
                <w:szCs w:val="28"/>
              </w:rPr>
              <w:t>,</w:t>
            </w:r>
            <w:r w:rsidR="005477FF">
              <w:rPr>
                <w:color w:val="000000" w:themeColor="text1"/>
                <w:sz w:val="28"/>
                <w:szCs w:val="28"/>
              </w:rPr>
              <w:t xml:space="preserve"> e.g. </w:t>
            </w:r>
            <w:r w:rsidR="006F0670">
              <w:rPr>
                <w:color w:val="000000" w:themeColor="text1"/>
                <w:sz w:val="28"/>
                <w:szCs w:val="28"/>
              </w:rPr>
              <w:t xml:space="preserve">by </w:t>
            </w:r>
            <w:r w:rsidR="005477FF">
              <w:rPr>
                <w:color w:val="000000" w:themeColor="text1"/>
                <w:sz w:val="28"/>
                <w:szCs w:val="28"/>
              </w:rPr>
              <w:t>looking at schemas</w:t>
            </w:r>
          </w:p>
          <w:p w14:paraId="2651D816" w14:textId="6C3101EB" w:rsidR="005477FF" w:rsidRDefault="005477FF" w:rsidP="00A177FF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Various ways to adapt planning, provision and learning environments</w:t>
            </w:r>
          </w:p>
          <w:p w14:paraId="32F74F91" w14:textId="77777777" w:rsidR="00A177FF" w:rsidRPr="00A177FF" w:rsidRDefault="00A177FF" w:rsidP="00A177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D5AB3B" w14:textId="77777777" w:rsidR="00C304C6" w:rsidRPr="00C304C6" w:rsidRDefault="00C304C6" w:rsidP="00C304C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304C6">
              <w:rPr>
                <w:b/>
                <w:color w:val="000000" w:themeColor="text1"/>
                <w:sz w:val="28"/>
                <w:szCs w:val="28"/>
              </w:rPr>
              <w:t>All delegates must bring a copy of:</w:t>
            </w:r>
          </w:p>
          <w:p w14:paraId="7416EAA5" w14:textId="77777777" w:rsidR="00C304C6" w:rsidRPr="0085450E" w:rsidRDefault="00C304C6" w:rsidP="00C304C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5450E">
              <w:rPr>
                <w:color w:val="000000" w:themeColor="text1"/>
                <w:sz w:val="28"/>
                <w:szCs w:val="28"/>
              </w:rPr>
              <w:t>EYFS Statutory Framework</w:t>
            </w:r>
          </w:p>
          <w:p w14:paraId="2E34B195" w14:textId="77777777" w:rsidR="00C304C6" w:rsidRPr="0085450E" w:rsidRDefault="00C304C6" w:rsidP="00C304C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5450E">
              <w:rPr>
                <w:color w:val="000000" w:themeColor="text1"/>
                <w:sz w:val="28"/>
                <w:szCs w:val="28"/>
              </w:rPr>
              <w:t>EYFS Development Matters</w:t>
            </w:r>
          </w:p>
          <w:p w14:paraId="368D5B80" w14:textId="77777777" w:rsidR="00C304C6" w:rsidRDefault="00C304C6" w:rsidP="00C304C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5450E">
              <w:rPr>
                <w:color w:val="000000" w:themeColor="text1"/>
                <w:sz w:val="28"/>
                <w:szCs w:val="28"/>
              </w:rPr>
              <w:t xml:space="preserve">EYFS Profile Exemplification materials for </w:t>
            </w:r>
            <w:r>
              <w:rPr>
                <w:color w:val="000000" w:themeColor="text1"/>
                <w:sz w:val="28"/>
                <w:szCs w:val="28"/>
              </w:rPr>
              <w:t xml:space="preserve">Understanding of the World, Literacy &amp; Mathematical Development  </w:t>
            </w:r>
          </w:p>
          <w:p w14:paraId="67FC0415" w14:textId="77777777" w:rsidR="00C304C6" w:rsidRDefault="00C304C6" w:rsidP="00C304C6">
            <w:pPr>
              <w:pStyle w:val="ListParagraph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2F019C8" w14:textId="77777777" w:rsidR="00A93F4C" w:rsidRDefault="00A93F4C" w:rsidP="00A93F4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Course Leader: </w:t>
            </w:r>
            <w:r>
              <w:rPr>
                <w:color w:val="000000" w:themeColor="text1"/>
                <w:sz w:val="28"/>
                <w:szCs w:val="28"/>
              </w:rPr>
              <w:t>Al Carroll</w:t>
            </w:r>
          </w:p>
          <w:p w14:paraId="7019C76C" w14:textId="77777777" w:rsidR="00A93F4C" w:rsidRDefault="00A93F4C" w:rsidP="00A93F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Venue:  This course can be delivered online or in a host school</w:t>
            </w:r>
          </w:p>
          <w:p w14:paraId="28047C29" w14:textId="77777777" w:rsidR="00A93F4C" w:rsidRDefault="00A93F4C" w:rsidP="00A93F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Cost: £125 per delegate</w:t>
            </w:r>
          </w:p>
          <w:p w14:paraId="4F1C0989" w14:textId="77777777" w:rsidR="00A93F4C" w:rsidRDefault="00A93F4C" w:rsidP="00A93F4C">
            <w:pPr>
              <w:rPr>
                <w:color w:val="000000" w:themeColor="text1"/>
                <w:sz w:val="28"/>
                <w:szCs w:val="28"/>
              </w:rPr>
            </w:pPr>
          </w:p>
          <w:p w14:paraId="240DF10C" w14:textId="3A4DA0E2" w:rsidR="003F3644" w:rsidRDefault="00A93F4C" w:rsidP="003F36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Please contact Al  T: 07815065071 / E: </w:t>
            </w:r>
            <w:hyperlink r:id="rId8" w:history="1">
              <w:r>
                <w:rPr>
                  <w:rStyle w:val="Hyperlink"/>
                  <w:sz w:val="28"/>
                  <w:szCs w:val="28"/>
                </w:rPr>
                <w:t>alisonruthcarroll@gmail.com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to discuss options to suit your school/setting.</w:t>
            </w:r>
          </w:p>
          <w:p w14:paraId="4F21D28C" w14:textId="77777777" w:rsidR="003F3644" w:rsidRDefault="003F3644" w:rsidP="003F3644">
            <w:pPr>
              <w:rPr>
                <w:color w:val="000000" w:themeColor="text1"/>
                <w:sz w:val="28"/>
                <w:szCs w:val="28"/>
              </w:rPr>
            </w:pPr>
          </w:p>
          <w:p w14:paraId="5991B91C" w14:textId="77777777" w:rsidR="003F3644" w:rsidRDefault="003F3644" w:rsidP="003F3644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b/>
                <w:color w:val="000000" w:themeColor="text1"/>
                <w:sz w:val="28"/>
                <w:szCs w:val="10"/>
              </w:rPr>
              <w:t>Cancellation charges</w:t>
            </w:r>
            <w:r>
              <w:rPr>
                <w:color w:val="000000" w:themeColor="text1"/>
                <w:sz w:val="28"/>
                <w:szCs w:val="10"/>
              </w:rPr>
              <w:t xml:space="preserve"> (unless due to illness):</w:t>
            </w:r>
          </w:p>
          <w:p w14:paraId="46773FD0" w14:textId="77777777" w:rsidR="003F3644" w:rsidRDefault="003F3644" w:rsidP="003F3644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With less than 5 working days’ notice: 25% charge</w:t>
            </w:r>
          </w:p>
          <w:p w14:paraId="67D7E3D4" w14:textId="77777777" w:rsidR="003F3644" w:rsidRDefault="003F3644" w:rsidP="003F3644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With at least 5 working days’ notice:  no charge</w:t>
            </w:r>
          </w:p>
          <w:p w14:paraId="604C30FA" w14:textId="77777777" w:rsidR="003F3644" w:rsidRDefault="003F3644" w:rsidP="003F3644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Non-attendance (unless due to illness): 50% charge</w:t>
            </w:r>
          </w:p>
          <w:p w14:paraId="6AC9C4D9" w14:textId="77777777" w:rsidR="003F3644" w:rsidRDefault="003F3644" w:rsidP="003F3644">
            <w:pPr>
              <w:rPr>
                <w:color w:val="000000" w:themeColor="text1"/>
                <w:sz w:val="28"/>
                <w:szCs w:val="28"/>
              </w:rPr>
            </w:pPr>
          </w:p>
          <w:p w14:paraId="2DDE0A0F" w14:textId="78E922FC" w:rsidR="00C304C6" w:rsidRPr="00DE1E13" w:rsidRDefault="00C304C6" w:rsidP="00C304C6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614491BA" w14:textId="673D7D21" w:rsidR="00721EA9" w:rsidRPr="007D5303" w:rsidRDefault="00721EA9" w:rsidP="00C304C6">
      <w:pPr>
        <w:jc w:val="right"/>
        <w:rPr>
          <w:color w:val="2E74B5" w:themeColor="accent5" w:themeShade="BF"/>
        </w:rPr>
      </w:pPr>
    </w:p>
    <w:sectPr w:rsidR="00721EA9" w:rsidRPr="007D5303" w:rsidSect="00C304C6">
      <w:footerReference w:type="even" r:id="rId9"/>
      <w:footerReference w:type="default" r:id="rId10"/>
      <w:pgSz w:w="11900" w:h="16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7FD56" w14:textId="77777777" w:rsidR="005003F3" w:rsidRDefault="005003F3" w:rsidP="00E44A6B">
      <w:r>
        <w:separator/>
      </w:r>
    </w:p>
  </w:endnote>
  <w:endnote w:type="continuationSeparator" w:id="0">
    <w:p w14:paraId="24B98AD9" w14:textId="77777777" w:rsidR="005003F3" w:rsidRDefault="005003F3" w:rsidP="00E4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8C96" w14:textId="77777777" w:rsidR="0017026D" w:rsidRDefault="0017026D" w:rsidP="006736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EF72E" w14:textId="77777777" w:rsidR="0017026D" w:rsidRDefault="00170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BC0C0" w14:textId="0F480856" w:rsidR="0017026D" w:rsidRDefault="0017026D" w:rsidP="006736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C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F905AF" w14:textId="77777777" w:rsidR="0017026D" w:rsidRDefault="00170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1A0B6" w14:textId="77777777" w:rsidR="005003F3" w:rsidRDefault="005003F3" w:rsidP="00E44A6B">
      <w:r>
        <w:separator/>
      </w:r>
    </w:p>
  </w:footnote>
  <w:footnote w:type="continuationSeparator" w:id="0">
    <w:p w14:paraId="39255B1F" w14:textId="77777777" w:rsidR="005003F3" w:rsidRDefault="005003F3" w:rsidP="00E4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F1408"/>
    <w:multiLevelType w:val="hybridMultilevel"/>
    <w:tmpl w:val="7570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57B31"/>
    <w:multiLevelType w:val="hybridMultilevel"/>
    <w:tmpl w:val="AFB08F1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74B212AD"/>
    <w:multiLevelType w:val="hybridMultilevel"/>
    <w:tmpl w:val="58AC3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77"/>
    <w:rsid w:val="00017A7F"/>
    <w:rsid w:val="00021460"/>
    <w:rsid w:val="00042467"/>
    <w:rsid w:val="0008609B"/>
    <w:rsid w:val="00086E95"/>
    <w:rsid w:val="00092D9B"/>
    <w:rsid w:val="000F7D01"/>
    <w:rsid w:val="00135435"/>
    <w:rsid w:val="00136963"/>
    <w:rsid w:val="00140E45"/>
    <w:rsid w:val="00155981"/>
    <w:rsid w:val="0016498A"/>
    <w:rsid w:val="001654E1"/>
    <w:rsid w:val="0017026D"/>
    <w:rsid w:val="00182CD8"/>
    <w:rsid w:val="001A2609"/>
    <w:rsid w:val="001C1911"/>
    <w:rsid w:val="001C468E"/>
    <w:rsid w:val="001D2493"/>
    <w:rsid w:val="00216E1E"/>
    <w:rsid w:val="002241D7"/>
    <w:rsid w:val="002B02DA"/>
    <w:rsid w:val="002D55D2"/>
    <w:rsid w:val="002E594D"/>
    <w:rsid w:val="002E6E87"/>
    <w:rsid w:val="002E7861"/>
    <w:rsid w:val="00355D88"/>
    <w:rsid w:val="003C5030"/>
    <w:rsid w:val="003C6177"/>
    <w:rsid w:val="003D775D"/>
    <w:rsid w:val="003F3644"/>
    <w:rsid w:val="004059AB"/>
    <w:rsid w:val="00421727"/>
    <w:rsid w:val="00443DCA"/>
    <w:rsid w:val="004B77DD"/>
    <w:rsid w:val="005003F3"/>
    <w:rsid w:val="005314C2"/>
    <w:rsid w:val="005477FF"/>
    <w:rsid w:val="00563577"/>
    <w:rsid w:val="005A5DC7"/>
    <w:rsid w:val="005D1837"/>
    <w:rsid w:val="00614C83"/>
    <w:rsid w:val="00635101"/>
    <w:rsid w:val="006446A9"/>
    <w:rsid w:val="0067441F"/>
    <w:rsid w:val="00686A4D"/>
    <w:rsid w:val="006951D8"/>
    <w:rsid w:val="00696CA3"/>
    <w:rsid w:val="006C2FE6"/>
    <w:rsid w:val="006F0670"/>
    <w:rsid w:val="00712D1F"/>
    <w:rsid w:val="00717454"/>
    <w:rsid w:val="00721EA9"/>
    <w:rsid w:val="00732E74"/>
    <w:rsid w:val="00752894"/>
    <w:rsid w:val="007A47E5"/>
    <w:rsid w:val="007D41EC"/>
    <w:rsid w:val="007D47E2"/>
    <w:rsid w:val="007D5303"/>
    <w:rsid w:val="007D7DB8"/>
    <w:rsid w:val="00822BBE"/>
    <w:rsid w:val="00831C90"/>
    <w:rsid w:val="00847FF2"/>
    <w:rsid w:val="00890069"/>
    <w:rsid w:val="00892D6F"/>
    <w:rsid w:val="0089765F"/>
    <w:rsid w:val="008B1B08"/>
    <w:rsid w:val="008B6B18"/>
    <w:rsid w:val="008D2763"/>
    <w:rsid w:val="008D5BB8"/>
    <w:rsid w:val="008E1267"/>
    <w:rsid w:val="008E6FDD"/>
    <w:rsid w:val="00935EAA"/>
    <w:rsid w:val="00943641"/>
    <w:rsid w:val="009511C1"/>
    <w:rsid w:val="00990952"/>
    <w:rsid w:val="0099268E"/>
    <w:rsid w:val="009F7D9F"/>
    <w:rsid w:val="00A0335C"/>
    <w:rsid w:val="00A177FF"/>
    <w:rsid w:val="00A93F4C"/>
    <w:rsid w:val="00AB3EFF"/>
    <w:rsid w:val="00AE1584"/>
    <w:rsid w:val="00B00E42"/>
    <w:rsid w:val="00B24D39"/>
    <w:rsid w:val="00B72D74"/>
    <w:rsid w:val="00B755E4"/>
    <w:rsid w:val="00B94A00"/>
    <w:rsid w:val="00BB58C3"/>
    <w:rsid w:val="00C304C6"/>
    <w:rsid w:val="00C419FF"/>
    <w:rsid w:val="00C50DA5"/>
    <w:rsid w:val="00CB2977"/>
    <w:rsid w:val="00D2599A"/>
    <w:rsid w:val="00D473F0"/>
    <w:rsid w:val="00D552E0"/>
    <w:rsid w:val="00D629A8"/>
    <w:rsid w:val="00DC6262"/>
    <w:rsid w:val="00DD09C3"/>
    <w:rsid w:val="00DE1E13"/>
    <w:rsid w:val="00E44A6B"/>
    <w:rsid w:val="00E71B8D"/>
    <w:rsid w:val="00EC28C0"/>
    <w:rsid w:val="00ED4599"/>
    <w:rsid w:val="00EE1ADC"/>
    <w:rsid w:val="00EE4647"/>
    <w:rsid w:val="00EE5818"/>
    <w:rsid w:val="00F004D7"/>
    <w:rsid w:val="00F21AD2"/>
    <w:rsid w:val="00FA27B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5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A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A6B"/>
  </w:style>
  <w:style w:type="paragraph" w:styleId="Footer">
    <w:name w:val="footer"/>
    <w:basedOn w:val="Normal"/>
    <w:link w:val="Foot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A6B"/>
  </w:style>
  <w:style w:type="paragraph" w:styleId="NoSpacing">
    <w:name w:val="No Spacing"/>
    <w:uiPriority w:val="1"/>
    <w:qFormat/>
    <w:rsid w:val="00E44A6B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7026D"/>
  </w:style>
  <w:style w:type="paragraph" w:styleId="ListParagraph">
    <w:name w:val="List Paragraph"/>
    <w:basedOn w:val="Normal"/>
    <w:uiPriority w:val="34"/>
    <w:qFormat/>
    <w:rsid w:val="00990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A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93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ruthcarrol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Hawes</dc:creator>
  <cp:keywords/>
  <dc:description/>
  <cp:lastModifiedBy>Alison Carroll</cp:lastModifiedBy>
  <cp:revision>6</cp:revision>
  <dcterms:created xsi:type="dcterms:W3CDTF">2018-01-25T11:26:00Z</dcterms:created>
  <dcterms:modified xsi:type="dcterms:W3CDTF">2020-11-02T12:19:00Z</dcterms:modified>
</cp:coreProperties>
</file>